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7F" w:rsidRDefault="001B0500" w:rsidP="001B0500">
      <w:pPr>
        <w:widowControl w:val="0"/>
        <w:spacing w:after="0" w:line="317" w:lineRule="exact"/>
        <w:ind w:left="20" w:right="4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A52E7F" w:rsidRPr="00A52E7F">
        <w:rPr>
          <w:rFonts w:ascii="Times New Roman" w:hAnsi="Times New Roman"/>
          <w:b/>
          <w:sz w:val="28"/>
          <w:szCs w:val="28"/>
        </w:rPr>
        <w:t>Сводные результаты НОКОД ОО Назаровского района</w:t>
      </w:r>
    </w:p>
    <w:p w:rsidR="00A52E7F" w:rsidRPr="00A52E7F" w:rsidRDefault="00A52E7F" w:rsidP="00A52E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2E7F" w:rsidRDefault="00A52E7F" w:rsidP="00A52E7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136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83"/>
        <w:gridCol w:w="483"/>
        <w:gridCol w:w="483"/>
        <w:gridCol w:w="483"/>
        <w:gridCol w:w="483"/>
        <w:gridCol w:w="483"/>
        <w:gridCol w:w="532"/>
        <w:gridCol w:w="483"/>
        <w:gridCol w:w="483"/>
        <w:gridCol w:w="483"/>
        <w:gridCol w:w="483"/>
        <w:gridCol w:w="483"/>
        <w:gridCol w:w="552"/>
        <w:gridCol w:w="592"/>
        <w:gridCol w:w="709"/>
        <w:gridCol w:w="709"/>
        <w:gridCol w:w="567"/>
        <w:gridCol w:w="589"/>
      </w:tblGrid>
      <w:tr w:rsidR="00A52E7F" w:rsidRPr="00A52E7F" w:rsidTr="001B0500">
        <w:trPr>
          <w:trHeight w:val="615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  <w:r w:rsidR="001B0500" w:rsidRPr="001B05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открытости и доступности информации об организации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7F" w:rsidRPr="00A52E7F" w:rsidRDefault="001B0500" w:rsidP="00A52E7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B05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комфортности условий, в которых осуществляется образовательная деятельность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7F" w:rsidRPr="00A52E7F" w:rsidRDefault="001B0500" w:rsidP="00A52E7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B05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доброжелательности, вежлив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ости, компетентности работников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E7F" w:rsidRPr="00A52E7F" w:rsidRDefault="001B0500" w:rsidP="00A52E7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1B0500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Показатели удовлетворенности качеством образоват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ельной деятельности организации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2E7F" w:rsidRPr="00A52E7F" w:rsidTr="001B0500">
        <w:trPr>
          <w:trHeight w:val="338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2.2+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«Преображенская СОШ»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Дороховская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136,4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МКОУ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Сережская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ООШ»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130,7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Гляденская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146,4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МКОУ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Антроповская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ООШ»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128,9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МКОУ «Медведская ООШ»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128,7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Степновская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139,5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Сахаптинская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137,5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141,6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Крутоярская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118,8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Подсосенская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147,4</w:t>
            </w:r>
          </w:p>
        </w:tc>
      </w:tr>
      <w:tr w:rsidR="00A52E7F" w:rsidRPr="00A52E7F" w:rsidTr="001B0500">
        <w:trPr>
          <w:trHeight w:val="3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«Павловская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136,3</w:t>
            </w:r>
          </w:p>
        </w:tc>
      </w:tr>
      <w:tr w:rsidR="00A52E7F" w:rsidRPr="00A52E7F" w:rsidTr="001B0500">
        <w:trPr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МБОУ «</w:t>
            </w:r>
            <w:proofErr w:type="spellStart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Сохновская</w:t>
            </w:r>
            <w:proofErr w:type="spellEnd"/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 СОШ»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137,8</w:t>
            </w:r>
          </w:p>
        </w:tc>
      </w:tr>
      <w:tr w:rsidR="00A52E7F" w:rsidRPr="00A52E7F" w:rsidTr="001B0500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Назаровский районный Дом детского творчества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151,3</w:t>
            </w:r>
          </w:p>
        </w:tc>
      </w:tr>
      <w:tr w:rsidR="00A52E7F" w:rsidRPr="00A52E7F" w:rsidTr="001B0500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A52E7F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Детско-юношеская спортивная школа Назаровского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145,2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Павловский детский сад «Солнышко»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149,7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Красносопкинский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«Аленка»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144,5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Степновский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«Колосок»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137,9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Преображенский детский сад «Малышок»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138,6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Дороховский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«Колосок»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136,8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Краснополянский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«Тополек»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133,4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Подсосенский детский сад «Теремок»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132,4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Медведский детский сад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120,4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Сохновский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121,3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Гляденский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«Колокольчик»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120,4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Сахаптинский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 «Сказка»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A52E7F" w:rsidRPr="00A52E7F" w:rsidTr="001B0500">
        <w:trPr>
          <w:trHeight w:val="34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52E7F" w:rsidRPr="001B0500" w:rsidRDefault="00A52E7F" w:rsidP="00A52E7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Жгутовский</w:t>
            </w:r>
            <w:proofErr w:type="spellEnd"/>
            <w:r w:rsidRPr="001B0500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 xml:space="preserve"> детский сад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5CD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E2F3"/>
            <w:noWrap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7F" w:rsidRPr="00A52E7F" w:rsidRDefault="00A52E7F" w:rsidP="00A52E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52E7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117,4</w:t>
            </w:r>
          </w:p>
        </w:tc>
      </w:tr>
    </w:tbl>
    <w:p w:rsidR="00A52E7F" w:rsidRDefault="00A52E7F" w:rsidP="00A52E7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B0500" w:rsidRPr="001B0500" w:rsidRDefault="001B0500" w:rsidP="001B0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независимой оценки качества образовательной деятельности организации регламентировано следующими нормативно-правовыми актами: </w:t>
      </w:r>
      <w:proofErr w:type="gram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Постановлением Правительства </w:t>
      </w: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 от 10 июля 2013 года 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организации», Постановлением Правительства Российской Федерации от 5 августа 2013 года № 662 «Об осуществлении мониторинга системы образования», Приказом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proofErr w:type="gram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Приказом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деятельность, утвержденной Приказом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01 апреля 2015 года (приказ</w:t>
      </w:r>
      <w:proofErr w:type="gram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№ 1547), «Методическими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утвержденными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15 сентября 2016 года № АП-87/02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500" w:rsidRPr="001B0500" w:rsidRDefault="001B0500" w:rsidP="001B0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500">
        <w:rPr>
          <w:rFonts w:ascii="Times New Roman" w:hAnsi="Times New Roman"/>
          <w:sz w:val="28"/>
          <w:szCs w:val="28"/>
        </w:rPr>
        <w:t>Решением Общественного совета при Управлении образования от 15 сентября 2016 года организацией-оператором была определён Красноярский краевой институт повышения квалификации (КК ИПК).</w:t>
      </w:r>
    </w:p>
    <w:p w:rsidR="001B0500" w:rsidRPr="001B0500" w:rsidRDefault="001B0500" w:rsidP="001B0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500">
        <w:rPr>
          <w:rFonts w:ascii="Times New Roman" w:hAnsi="Times New Roman"/>
          <w:sz w:val="28"/>
          <w:szCs w:val="28"/>
        </w:rPr>
        <w:t xml:space="preserve">Оператором разработана методика сбора, обобщения и анализа информации для целей проведения независимой оценки качества образовательной деятельности  образовательной организации в соответствии с определенными критериями, показателями и особенностями осуществляемой образовательной деятельности организации для проведения независимой оценки качества оказания услуг. </w:t>
      </w:r>
    </w:p>
    <w:p w:rsidR="001B0500" w:rsidRPr="001B0500" w:rsidRDefault="001B0500" w:rsidP="001B05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500">
        <w:rPr>
          <w:rFonts w:ascii="Times New Roman" w:hAnsi="Times New Roman"/>
          <w:sz w:val="28"/>
          <w:szCs w:val="28"/>
        </w:rPr>
        <w:t>Сбор данных по показателям НОКО осуществлялся оператором методом анкетирования и анализа информации, находящейся в открытом доступе (сайт ОО).</w:t>
      </w:r>
    </w:p>
    <w:p w:rsidR="001B0500" w:rsidRPr="001B0500" w:rsidRDefault="001B0500" w:rsidP="001B050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 xml:space="preserve">Мнения респондентов учитывались анонимно и использовались в обобщенном виде. </w:t>
      </w:r>
    </w:p>
    <w:p w:rsidR="001B0500" w:rsidRPr="001B0500" w:rsidRDefault="001B0500" w:rsidP="001B0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К сбору и обобщению информации оператор привлекал экспертов и членов Общественных советов,  представляющих родительскую общественность.</w:t>
      </w:r>
    </w:p>
    <w:p w:rsidR="001B0500" w:rsidRPr="001B0500" w:rsidRDefault="001B0500" w:rsidP="001B05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В репрезентативной выборке принимали участие:</w:t>
      </w:r>
    </w:p>
    <w:p w:rsidR="001B0500" w:rsidRPr="001B0500" w:rsidRDefault="001B0500" w:rsidP="001B05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 менее 5% выпускников от общей </w:t>
      </w:r>
      <w:proofErr w:type="gram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численности</w:t>
      </w:r>
      <w:proofErr w:type="gram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организации 2</w:t>
      </w: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3 года назад;</w:t>
      </w:r>
    </w:p>
    <w:p w:rsidR="001B0500" w:rsidRPr="001B0500" w:rsidRDefault="001B0500" w:rsidP="001B05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– не менее 10% преподавателей;</w:t>
      </w:r>
    </w:p>
    <w:p w:rsidR="001B0500" w:rsidRPr="001B0500" w:rsidRDefault="001B0500" w:rsidP="001B05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– не менее 20% законных представителей обучающихся (родителей);</w:t>
      </w:r>
    </w:p>
    <w:p w:rsidR="001B0500" w:rsidRPr="001B0500" w:rsidRDefault="001B0500" w:rsidP="001B050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– не менее 30% обучающихся в организации (учащихся);</w:t>
      </w:r>
    </w:p>
    <w:p w:rsidR="001B0500" w:rsidRPr="001B0500" w:rsidRDefault="001B0500" w:rsidP="001B0500">
      <w:pPr>
        <w:widowControl w:val="0"/>
        <w:spacing w:after="0" w:line="240" w:lineRule="auto"/>
        <w:ind w:firstLine="360"/>
        <w:contextualSpacing/>
        <w:outlineLvl w:val="0"/>
        <w:rPr>
          <w:rFonts w:ascii="Times New Roman" w:eastAsia="Times New Roman" w:hAnsi="Times New Roman"/>
          <w:sz w:val="28"/>
          <w:szCs w:val="28"/>
        </w:rPr>
      </w:pPr>
      <w:bookmarkStart w:id="1" w:name="_Toc480836571"/>
      <w:r w:rsidRPr="001B0500">
        <w:rPr>
          <w:rFonts w:ascii="Times New Roman" w:eastAsia="Times New Roman" w:hAnsi="Times New Roman"/>
          <w:sz w:val="28"/>
          <w:szCs w:val="28"/>
        </w:rPr>
        <w:t>На уровне РФ были разработаны показатели, характеризующие общие критерии оценки качества образовательной деятельности организации</w:t>
      </w:r>
      <w:bookmarkEnd w:id="1"/>
      <w:r w:rsidRPr="001B0500">
        <w:rPr>
          <w:rFonts w:ascii="Times New Roman" w:eastAsia="Times New Roman" w:hAnsi="Times New Roman"/>
          <w:sz w:val="28"/>
          <w:szCs w:val="28"/>
        </w:rPr>
        <w:t>.</w:t>
      </w:r>
    </w:p>
    <w:p w:rsidR="001B0500" w:rsidRPr="001B0500" w:rsidRDefault="001B0500" w:rsidP="001B050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Группа 1. Показатели открытости и доступности информации об организации.</w:t>
      </w:r>
    </w:p>
    <w:p w:rsidR="001B0500" w:rsidRPr="001B0500" w:rsidRDefault="001B0500" w:rsidP="001B050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gram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. Показатели комфортности условий, в которых осуществляется образовательная деятельность.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Группа3. Показатели доброжелательности, вежливости, компетентности работников.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Группа 4. Показатели удовлетворенности качеством образовательной деятельности организации</w:t>
      </w:r>
      <w:r w:rsidRPr="001B050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Процедура НОКОД была проведена с октября 2016 года по июнь 2017 года в 27 образовательных организациях Назаровского района.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Результаты:</w:t>
      </w:r>
    </w:p>
    <w:p w:rsidR="001B0500" w:rsidRPr="001B0500" w:rsidRDefault="001B0500" w:rsidP="001B0500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>Достаточно высокие результаты были показаны по большинству всех показателей.</w:t>
      </w:r>
      <w:r w:rsidRPr="001B050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B0500">
        <w:rPr>
          <w:rFonts w:ascii="Times New Roman" w:eastAsiaTheme="minorHAnsi" w:hAnsi="Times New Roman"/>
          <w:sz w:val="28"/>
          <w:szCs w:val="28"/>
        </w:rPr>
        <w:t xml:space="preserve">Высоко оценены результаты деятельности в части  материально-технической и информационной обеспеченности организаций, наличия необходимых условий для охраны и укрепления здоровья, организации питания обучающихся. </w:t>
      </w:r>
    </w:p>
    <w:p w:rsidR="001B0500" w:rsidRPr="001B0500" w:rsidRDefault="001B0500" w:rsidP="001B0500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>Тем не менее, в 11% ОУ (</w:t>
      </w:r>
      <w:proofErr w:type="spellStart"/>
      <w:r w:rsidRPr="001B0500">
        <w:rPr>
          <w:rFonts w:ascii="Times New Roman" w:eastAsiaTheme="minorHAnsi" w:hAnsi="Times New Roman"/>
          <w:sz w:val="28"/>
          <w:szCs w:val="28"/>
        </w:rPr>
        <w:t>Антроповская</w:t>
      </w:r>
      <w:proofErr w:type="spellEnd"/>
      <w:r w:rsidRPr="001B0500">
        <w:rPr>
          <w:rFonts w:ascii="Times New Roman" w:eastAsiaTheme="minorHAnsi" w:hAnsi="Times New Roman"/>
          <w:sz w:val="28"/>
          <w:szCs w:val="28"/>
        </w:rPr>
        <w:t xml:space="preserve"> ООШ, </w:t>
      </w:r>
      <w:proofErr w:type="spellStart"/>
      <w:r w:rsidRPr="001B0500">
        <w:rPr>
          <w:rFonts w:ascii="Times New Roman" w:eastAsiaTheme="minorHAnsi" w:hAnsi="Times New Roman"/>
          <w:sz w:val="28"/>
          <w:szCs w:val="28"/>
        </w:rPr>
        <w:t>Крутоярская</w:t>
      </w:r>
      <w:proofErr w:type="spellEnd"/>
      <w:r w:rsidRPr="001B0500">
        <w:rPr>
          <w:rFonts w:ascii="Times New Roman" w:eastAsiaTheme="minorHAnsi" w:hAnsi="Times New Roman"/>
          <w:sz w:val="28"/>
          <w:szCs w:val="28"/>
        </w:rPr>
        <w:t xml:space="preserve"> СОШ, </w:t>
      </w:r>
      <w:proofErr w:type="spellStart"/>
      <w:r w:rsidRPr="001B0500">
        <w:rPr>
          <w:rFonts w:ascii="Times New Roman" w:eastAsiaTheme="minorHAnsi" w:hAnsi="Times New Roman"/>
          <w:sz w:val="28"/>
          <w:szCs w:val="28"/>
        </w:rPr>
        <w:t>Жгутовский</w:t>
      </w:r>
      <w:proofErr w:type="spellEnd"/>
      <w:r w:rsidRPr="001B0500">
        <w:rPr>
          <w:rFonts w:ascii="Times New Roman" w:eastAsiaTheme="minorHAnsi" w:hAnsi="Times New Roman"/>
          <w:sz w:val="28"/>
          <w:szCs w:val="28"/>
        </w:rPr>
        <w:t xml:space="preserve"> д/с) не созданы условия для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Обозначились проблемные места в организации образовательной деятельности. Так в 11% (Медведская ООШ, Павловская СОШ,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Сохновская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СОШ)  образовательных организаций респонденты определили недостаточными условия, созданные для индивидуальной работы </w:t>
      </w:r>
      <w:proofErr w:type="gram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обучающимися.</w:t>
      </w:r>
      <w:r w:rsidRPr="001B050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обучающимся показались недостаточными респондентам 15% учреждений (Медведская ООШ,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Подсосенская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Сахаптинская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Краснополянская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СОШ).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22 % ОУ оказались в группе, имеющей недочёты в создании условий для организации обучения и </w:t>
      </w:r>
      <w:proofErr w:type="gram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proofErr w:type="gram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ограниченными возможностями здоровья и инвалидов (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Антроповская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Медведская ООШ,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Сережская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Краснополянский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д/с,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Сахаптинский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д/с).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Не полностью реализуются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 у 18%  образовательных учреждений (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Антроповская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Медведская ООШ, Павловская СОШ,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Сохновский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д/с, </w:t>
      </w:r>
      <w:proofErr w:type="spellStart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>Жгутовский</w:t>
      </w:r>
      <w:proofErr w:type="spellEnd"/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t xml:space="preserve"> д/с).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5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Обобщённые данные по результатам НОКОД:</w:t>
      </w:r>
    </w:p>
    <w:p w:rsidR="001B0500" w:rsidRPr="001B0500" w:rsidRDefault="001B0500" w:rsidP="001B0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367"/>
      </w:tblGrid>
      <w:tr w:rsidR="001B0500" w:rsidRPr="001B0500" w:rsidTr="00A24435">
        <w:tc>
          <w:tcPr>
            <w:tcW w:w="3402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Перечень организаций, имеющих наихудшие показатели (5%)</w:t>
            </w:r>
          </w:p>
        </w:tc>
        <w:tc>
          <w:tcPr>
            <w:tcW w:w="2694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Перечень организаций с наилучшими показателями (5%)</w:t>
            </w:r>
          </w:p>
        </w:tc>
        <w:tc>
          <w:tcPr>
            <w:tcW w:w="3367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Перечень организаций со стабильными средними показателями (10%)</w:t>
            </w:r>
          </w:p>
        </w:tc>
      </w:tr>
      <w:tr w:rsidR="001B0500" w:rsidRPr="001B0500" w:rsidTr="00A24435">
        <w:tc>
          <w:tcPr>
            <w:tcW w:w="3402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МКОУ «Медведская ООШ»</w:t>
            </w:r>
          </w:p>
        </w:tc>
        <w:tc>
          <w:tcPr>
            <w:tcW w:w="2694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МБОУ «</w:t>
            </w:r>
            <w:proofErr w:type="spellStart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Гляденская</w:t>
            </w:r>
            <w:proofErr w:type="spellEnd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367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МБОУ «</w:t>
            </w:r>
            <w:proofErr w:type="spellStart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Сохновская</w:t>
            </w:r>
            <w:proofErr w:type="spellEnd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 xml:space="preserve"> СОШ»</w:t>
            </w:r>
          </w:p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МБОУ «Преображенская СОШ»</w:t>
            </w:r>
          </w:p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МБОУ «</w:t>
            </w:r>
            <w:proofErr w:type="spellStart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Степновская</w:t>
            </w:r>
            <w:proofErr w:type="spellEnd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 xml:space="preserve"> ООШ»</w:t>
            </w:r>
          </w:p>
        </w:tc>
      </w:tr>
      <w:tr w:rsidR="001B0500" w:rsidRPr="001B0500" w:rsidTr="00A24435">
        <w:tc>
          <w:tcPr>
            <w:tcW w:w="3402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Жгутовский</w:t>
            </w:r>
            <w:proofErr w:type="spellEnd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 xml:space="preserve"> д/с</w:t>
            </w:r>
          </w:p>
        </w:tc>
        <w:tc>
          <w:tcPr>
            <w:tcW w:w="2694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Павловский</w:t>
            </w:r>
            <w:proofErr w:type="gramEnd"/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 xml:space="preserve"> д/с «Солнышко»</w:t>
            </w:r>
          </w:p>
        </w:tc>
        <w:tc>
          <w:tcPr>
            <w:tcW w:w="3367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Преображенский д/с «Малышок»</w:t>
            </w:r>
          </w:p>
        </w:tc>
      </w:tr>
      <w:tr w:rsidR="001B0500" w:rsidRPr="001B0500" w:rsidTr="00A24435">
        <w:tc>
          <w:tcPr>
            <w:tcW w:w="3402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Назаровский районный Дом детского творчества</w:t>
            </w:r>
          </w:p>
        </w:tc>
        <w:tc>
          <w:tcPr>
            <w:tcW w:w="3367" w:type="dxa"/>
          </w:tcPr>
          <w:p w:rsidR="001B0500" w:rsidRPr="001B0500" w:rsidRDefault="001B0500" w:rsidP="001B050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B0500">
              <w:rPr>
                <w:rFonts w:ascii="Times New Roman" w:eastAsiaTheme="minorHAnsi" w:hAnsi="Times New Roman"/>
                <w:sz w:val="28"/>
                <w:szCs w:val="28"/>
              </w:rPr>
              <w:t>Детско-юношеская спортивная школа Назаровского района</w:t>
            </w:r>
          </w:p>
        </w:tc>
      </w:tr>
    </w:tbl>
    <w:p w:rsidR="001B0500" w:rsidRDefault="001B0500" w:rsidP="001B0500">
      <w:pPr>
        <w:ind w:firstLine="708"/>
        <w:rPr>
          <w:rFonts w:ascii="Times New Roman" w:eastAsiaTheme="minorHAnsi" w:hAnsi="Times New Roman"/>
          <w:sz w:val="28"/>
          <w:szCs w:val="28"/>
        </w:rPr>
      </w:pPr>
    </w:p>
    <w:p w:rsidR="001B0500" w:rsidRPr="001B0500" w:rsidRDefault="001B0500" w:rsidP="001B0500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>По результатам НОКОД были приняты меры (управленческие решения).</w:t>
      </w:r>
    </w:p>
    <w:p w:rsidR="001B0500" w:rsidRPr="001B0500" w:rsidRDefault="001B0500" w:rsidP="001B0500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>На Совете директоров образовательных учреждений были проанализированы показатели по блокам с низкой оценкой и предложены меры по повышению результатов деятельности:</w:t>
      </w:r>
    </w:p>
    <w:p w:rsidR="001B0500" w:rsidRPr="001B0500" w:rsidRDefault="001B0500" w:rsidP="001B05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 xml:space="preserve">-образовательные учреждения в течение месяца разрабатывают и утверждают регламенты по работе с поступившими в их адрес обращениями получателей образовательных услуг, в том числе, в части доступности материалов о ходе рассмотрения обращений;   </w:t>
      </w:r>
    </w:p>
    <w:p w:rsidR="001B0500" w:rsidRPr="001B0500" w:rsidRDefault="001B0500" w:rsidP="001B05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 xml:space="preserve">-продолжить работу по созданию доступной среды для маломобильных лиц населения.  Для создания условий по организации обучения и </w:t>
      </w:r>
      <w:proofErr w:type="gramStart"/>
      <w:r w:rsidRPr="001B0500">
        <w:rPr>
          <w:rFonts w:ascii="Times New Roman" w:eastAsiaTheme="minorHAnsi" w:hAnsi="Times New Roman"/>
          <w:sz w:val="28"/>
          <w:szCs w:val="28"/>
        </w:rPr>
        <w:t>воспитания</w:t>
      </w:r>
      <w:proofErr w:type="gramEnd"/>
      <w:r w:rsidRPr="001B0500">
        <w:rPr>
          <w:rFonts w:ascii="Times New Roman" w:eastAsiaTheme="minorHAnsi" w:hAnsi="Times New Roman"/>
          <w:sz w:val="28"/>
          <w:szCs w:val="28"/>
        </w:rPr>
        <w:t xml:space="preserve"> обучающихся с ограниченными возможностями здоровья и инвалидов принять участие в открытых благотворительных конкурсах фонда Михаила Прохорова; </w:t>
      </w:r>
    </w:p>
    <w:p w:rsidR="001B0500" w:rsidRPr="001B0500" w:rsidRDefault="001B0500" w:rsidP="001B05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 xml:space="preserve">- для создания возможности по оказанию психолого-педагогической, медицинской и социальной помощи </w:t>
      </w:r>
      <w:proofErr w:type="gramStart"/>
      <w:r w:rsidRPr="001B0500">
        <w:rPr>
          <w:rFonts w:ascii="Times New Roman" w:eastAsiaTheme="minorHAnsi" w:hAnsi="Times New Roman"/>
          <w:sz w:val="28"/>
          <w:szCs w:val="28"/>
        </w:rPr>
        <w:t>обучающимся</w:t>
      </w:r>
      <w:proofErr w:type="gramEnd"/>
      <w:r w:rsidRPr="001B0500">
        <w:rPr>
          <w:rFonts w:ascii="Times New Roman" w:eastAsiaTheme="minorHAnsi" w:hAnsi="Times New Roman"/>
          <w:sz w:val="28"/>
          <w:szCs w:val="28"/>
        </w:rPr>
        <w:t>, заключить договора о сетевом взаимодействии с близлежащими образовательными учреждениями, имеющими в своём штате узких специалистов;</w:t>
      </w:r>
    </w:p>
    <w:p w:rsidR="001B0500" w:rsidRPr="001B0500" w:rsidRDefault="001B0500" w:rsidP="001B05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 xml:space="preserve">-внести изменения в рабочие программы педагогов с целью индивидуализации образовательной деятельности с </w:t>
      </w:r>
      <w:proofErr w:type="gramStart"/>
      <w:r w:rsidRPr="001B0500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1B0500">
        <w:rPr>
          <w:rFonts w:ascii="Times New Roman" w:eastAsiaTheme="minorHAnsi" w:hAnsi="Times New Roman"/>
          <w:sz w:val="28"/>
          <w:szCs w:val="28"/>
        </w:rPr>
        <w:t>;</w:t>
      </w:r>
    </w:p>
    <w:p w:rsidR="001B0500" w:rsidRPr="001B0500" w:rsidRDefault="001B0500" w:rsidP="001B050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 xml:space="preserve">-совместно с родителями (лицами их замещающими) продолжить  разрабатывать индивидуальные образовательные маршруты, направленные на создание условий  для осознанного выбора возможности развития творческих способностей и </w:t>
      </w:r>
      <w:proofErr w:type="gramStart"/>
      <w:r w:rsidRPr="001B0500">
        <w:rPr>
          <w:rFonts w:ascii="Times New Roman" w:eastAsiaTheme="minorHAnsi" w:hAnsi="Times New Roman"/>
          <w:sz w:val="28"/>
          <w:szCs w:val="28"/>
        </w:rPr>
        <w:t>интересов</w:t>
      </w:r>
      <w:proofErr w:type="gramEnd"/>
      <w:r w:rsidRPr="001B0500">
        <w:rPr>
          <w:rFonts w:ascii="Times New Roman" w:eastAsiaTheme="minorHAnsi" w:hAnsi="Times New Roman"/>
          <w:sz w:val="28"/>
          <w:szCs w:val="28"/>
        </w:rPr>
        <w:t xml:space="preserve"> обучающихся через  включения их  в </w:t>
      </w:r>
      <w:r w:rsidRPr="001B0500">
        <w:rPr>
          <w:rFonts w:ascii="Times New Roman" w:eastAsiaTheme="minorHAnsi" w:hAnsi="Times New Roman"/>
          <w:sz w:val="28"/>
          <w:szCs w:val="28"/>
        </w:rPr>
        <w:lastRenderedPageBreak/>
        <w:t>конкурсы, олимпиады (в том числе во всероссийских и международных), выставки, смотры, физкультурные мероприятия, спортивные мероприятия.</w:t>
      </w:r>
    </w:p>
    <w:p w:rsidR="001B0500" w:rsidRPr="001B0500" w:rsidRDefault="001B0500" w:rsidP="001B0500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1B0500">
        <w:rPr>
          <w:rFonts w:ascii="Times New Roman" w:eastAsiaTheme="minorHAnsi" w:hAnsi="Times New Roman"/>
          <w:sz w:val="28"/>
          <w:szCs w:val="28"/>
        </w:rPr>
        <w:t>На сегодняшний день завершена работа по анализу выявленных недочётов. Планы работы обсуждены на августовских педагогических советах и будут опубликованы на сайтах образовательных организаций до конца сентября 2017 года.</w:t>
      </w:r>
    </w:p>
    <w:p w:rsidR="001B0500" w:rsidRPr="001B0500" w:rsidRDefault="001B0500" w:rsidP="001B0500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7B1A33" w:rsidRDefault="002C5A04" w:rsidP="001B0500">
      <w:pPr>
        <w:spacing w:after="0" w:line="240" w:lineRule="auto"/>
        <w:ind w:firstLine="567"/>
      </w:pPr>
    </w:p>
    <w:sectPr w:rsidR="007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04" w:rsidRDefault="002C5A04" w:rsidP="00A52E7F">
      <w:pPr>
        <w:spacing w:after="0" w:line="240" w:lineRule="auto"/>
      </w:pPr>
      <w:r>
        <w:separator/>
      </w:r>
    </w:p>
  </w:endnote>
  <w:endnote w:type="continuationSeparator" w:id="0">
    <w:p w:rsidR="002C5A04" w:rsidRDefault="002C5A04" w:rsidP="00A5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04" w:rsidRDefault="002C5A04" w:rsidP="00A52E7F">
      <w:pPr>
        <w:spacing w:after="0" w:line="240" w:lineRule="auto"/>
      </w:pPr>
      <w:r>
        <w:separator/>
      </w:r>
    </w:p>
  </w:footnote>
  <w:footnote w:type="continuationSeparator" w:id="0">
    <w:p w:rsidR="002C5A04" w:rsidRDefault="002C5A04" w:rsidP="00A5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6"/>
    <w:rsid w:val="001B0500"/>
    <w:rsid w:val="002C5A04"/>
    <w:rsid w:val="007C3CE0"/>
    <w:rsid w:val="009C5485"/>
    <w:rsid w:val="00A52E7F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2E7F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E7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B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2E7F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E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5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E7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B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2017-09-25T03:42:00Z</dcterms:created>
  <dcterms:modified xsi:type="dcterms:W3CDTF">2018-01-23T07:55:00Z</dcterms:modified>
</cp:coreProperties>
</file>