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78" w:rsidRDefault="00355E78" w:rsidP="00355E78">
      <w:pPr>
        <w:widowControl w:val="0"/>
        <w:spacing w:after="0" w:line="317" w:lineRule="exact"/>
        <w:ind w:left="20" w:right="4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Сводные результаты НОКОД ОО Назаровского района</w:t>
      </w:r>
    </w:p>
    <w:p w:rsidR="00355E78" w:rsidRDefault="00355E78" w:rsidP="00355E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5E78" w:rsidRDefault="00355E78" w:rsidP="00355E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13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85"/>
        <w:gridCol w:w="484"/>
        <w:gridCol w:w="484"/>
        <w:gridCol w:w="484"/>
        <w:gridCol w:w="484"/>
        <w:gridCol w:w="484"/>
        <w:gridCol w:w="532"/>
        <w:gridCol w:w="483"/>
        <w:gridCol w:w="483"/>
        <w:gridCol w:w="483"/>
        <w:gridCol w:w="483"/>
        <w:gridCol w:w="483"/>
        <w:gridCol w:w="552"/>
        <w:gridCol w:w="592"/>
        <w:gridCol w:w="709"/>
        <w:gridCol w:w="709"/>
        <w:gridCol w:w="567"/>
        <w:gridCol w:w="589"/>
      </w:tblGrid>
      <w:tr w:rsidR="00355E78" w:rsidTr="00355E78">
        <w:trPr>
          <w:trHeight w:val="615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Показатели открытости и доступности информации об организации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Показатели комфортности условий, в которых осуществляется образовательная деятельность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Показатели доброжелательности, вежливости, компетентности работников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Показатели удовлетворенности качеством образовательной деятельности организации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/>
            </w:pPr>
          </w:p>
        </w:tc>
      </w:tr>
      <w:tr w:rsidR="00355E78" w:rsidTr="00355E78">
        <w:trPr>
          <w:trHeight w:val="338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2.2+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/>
            </w:pP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«Преображенская СОШ»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Дороховская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136,4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Сережская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ООШ»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130,7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Гляденская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146,4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Антроповская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ООШ»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128,9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МКОУ «Медведская ООШ»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128,7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Степновская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139,5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Сахаптинская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137,5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Краснополянская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141,6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118,8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Подсосенская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147,4</w:t>
            </w:r>
          </w:p>
        </w:tc>
      </w:tr>
      <w:tr w:rsidR="00355E78" w:rsidTr="00355E78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«Павловская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136,3</w:t>
            </w:r>
          </w:p>
        </w:tc>
      </w:tr>
      <w:tr w:rsidR="00355E78" w:rsidTr="00355E78">
        <w:trPr>
          <w:trHeight w:val="30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Сохновская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137,8</w:t>
            </w:r>
          </w:p>
        </w:tc>
      </w:tr>
      <w:tr w:rsidR="00355E78" w:rsidTr="00355E78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Назаровский районный Дом детского творчества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151,3</w:t>
            </w:r>
          </w:p>
        </w:tc>
      </w:tr>
      <w:tr w:rsidR="00355E78" w:rsidTr="00355E78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Детско-юношеская спортивная школа Назаровского района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145,2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Павловский детский сад «Солнышко»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149,7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Красносопкинский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«Аленка»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144,5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Степновский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«Колосок»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137,9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Преображенский детский сад «Малышок»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138,6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Дороховский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«Колосок»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136,8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Краснополянский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«Тополек»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133,4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Подсосенский детский сад «Теремок»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132,4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Медведский детский сад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120,4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Сохновский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121,3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Гляденский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«Колокольчик»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120,4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Сахаптинский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«Сказка»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355E78" w:rsidTr="00355E78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Жгутовский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noWrap/>
            <w:vAlign w:val="center"/>
            <w:hideMark/>
          </w:tcPr>
          <w:p w:rsidR="00355E78" w:rsidRDefault="0035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8" w:rsidRDefault="00355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117,4</w:t>
            </w:r>
          </w:p>
        </w:tc>
      </w:tr>
    </w:tbl>
    <w:p w:rsidR="00355E78" w:rsidRDefault="00355E78" w:rsidP="00355E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55E78" w:rsidRDefault="00355E78" w:rsidP="00355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независимой оценки качества образовательной деятельности организации регламентировано следующими нормативно-правовыми актами: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29 декабря 2012 года № 273-ФЗ «Об образовании в Российской Федерации», Постановлением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 от 10 июля 2013 года 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организации», Постановлением Правительства Российской Федерации от 5 августа 2013 года № 662 «Об осуществлении мониторинга системы образования»,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10 декабря 2013 года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деятельность, утвержденной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01 апреля 2015 года (приказ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1547), «Методическими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15 сентября 2016 года № АП-87/02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5E78" w:rsidRDefault="00355E78" w:rsidP="00355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Общественного совета при Управлении образования от 15 сентября 2016 года организацией-оператором была определён Красноярский краевой институт повышения квалификации (КК ИПК).</w:t>
      </w:r>
    </w:p>
    <w:p w:rsidR="00355E78" w:rsidRDefault="00355E78" w:rsidP="00355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Оператором разработана методика сбора, обобщения и анализа информации для целей проведения независимой оценки качества образовательной деятельности  образовательной организации в соответствии с определенными критериями, показателями и особенностями осуществляемой образовательной деятельности организации для проведения независимой оценки качества оказания услуг. </w:t>
      </w:r>
    </w:p>
    <w:p w:rsidR="00355E78" w:rsidRDefault="00355E78" w:rsidP="00355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данных по показателям НОКО осуществлялся оператором методом анкетирования и анализа информации, находящейся в открытом доступе (сайт ОО).</w:t>
      </w:r>
    </w:p>
    <w:p w:rsidR="00355E78" w:rsidRDefault="00355E78" w:rsidP="00355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Мнения респондентов учитывались анонимно и использовались в обобщенном виде. </w:t>
      </w:r>
    </w:p>
    <w:p w:rsidR="00355E78" w:rsidRDefault="00355E78" w:rsidP="00355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сбору и обобщению информации оператор привлекал экспертов и членов Общественных советов,  представляющих родительскую общественность.</w:t>
      </w:r>
    </w:p>
    <w:p w:rsidR="00355E78" w:rsidRDefault="00355E78" w:rsidP="00355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репрезентативной выборке принимали участие:</w:t>
      </w:r>
    </w:p>
    <w:p w:rsidR="00355E78" w:rsidRDefault="00355E78" w:rsidP="00355E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не менее 5% выпускников от общей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численности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организации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  <w:lang w:eastAsia="ru-RU"/>
        </w:rPr>
        <w:t>3 года назад;</w:t>
      </w:r>
    </w:p>
    <w:p w:rsidR="00355E78" w:rsidRDefault="00355E78" w:rsidP="00355E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не менее 10% преподавателей;</w:t>
      </w:r>
    </w:p>
    <w:p w:rsidR="00355E78" w:rsidRDefault="00355E78" w:rsidP="00355E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не менее 20% законных представителей обучающихся (родителей);</w:t>
      </w:r>
    </w:p>
    <w:p w:rsidR="00355E78" w:rsidRDefault="00355E78" w:rsidP="00355E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не менее 30% обучающихся в организации (учащихся);</w:t>
      </w:r>
    </w:p>
    <w:p w:rsidR="00355E78" w:rsidRDefault="00355E78" w:rsidP="00355E78">
      <w:pPr>
        <w:widowControl w:val="0"/>
        <w:spacing w:after="0" w:line="240" w:lineRule="auto"/>
        <w:ind w:firstLine="360"/>
        <w:contextualSpacing/>
        <w:outlineLvl w:val="0"/>
        <w:rPr>
          <w:rFonts w:ascii="Times New Roman" w:eastAsia="Times New Roman" w:hAnsi="Times New Roman"/>
          <w:sz w:val="28"/>
          <w:szCs w:val="28"/>
        </w:rPr>
      </w:pPr>
      <w:bookmarkStart w:id="0" w:name="_Toc480836571"/>
      <w:r>
        <w:rPr>
          <w:rFonts w:ascii="Times New Roman" w:eastAsia="Times New Roman" w:hAnsi="Times New Roman"/>
          <w:sz w:val="28"/>
          <w:szCs w:val="28"/>
        </w:rPr>
        <w:t>На уровне РФ были разработаны показатели, характеризующие общие критерии оценки качества образовательной деятельности организации</w:t>
      </w:r>
      <w:bookmarkEnd w:id="0"/>
      <w:r>
        <w:rPr>
          <w:rFonts w:ascii="Times New Roman" w:eastAsia="Times New Roman" w:hAnsi="Times New Roman"/>
          <w:sz w:val="28"/>
          <w:szCs w:val="28"/>
        </w:rPr>
        <w:t>.</w:t>
      </w:r>
    </w:p>
    <w:p w:rsidR="00355E78" w:rsidRDefault="00355E78" w:rsidP="00355E7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Группа 1. Показатели открытости и доступности информации об организации.</w:t>
      </w:r>
    </w:p>
    <w:p w:rsidR="00355E78" w:rsidRDefault="00355E78" w:rsidP="00355E7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Показатели комфортности условий, в которых осуществляется образовательная деятельность.</w:t>
      </w:r>
    </w:p>
    <w:p w:rsidR="00355E78" w:rsidRDefault="00355E78" w:rsidP="00355E78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Группа3. Показатели доброжелательности, вежливости, компетентности работников.</w:t>
      </w:r>
    </w:p>
    <w:p w:rsidR="00355E78" w:rsidRDefault="00355E78" w:rsidP="00355E78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 4. Показатели удовлетворенности качеством образовательной деятельности организации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Процедура НОКОД была проведена с октября 2016 года по июнь 2017 года в 27 образовательных организациях Назаровского района.</w:t>
      </w: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Результаты:</w:t>
      </w:r>
    </w:p>
    <w:p w:rsidR="00355E78" w:rsidRDefault="00355E78" w:rsidP="00355E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 высокие результаты были показаны по большинству всех показателей.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Высоко оценены результаты деятельности в части  материально-технической и информационной обеспеченности организаций, наличия необходимых условий для охраны и укрепления здоровья, организации питания обучающихся. </w:t>
      </w:r>
    </w:p>
    <w:p w:rsidR="00355E78" w:rsidRDefault="00355E78" w:rsidP="00355E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менее, в 11% ОУ (</w:t>
      </w:r>
      <w:proofErr w:type="spellStart"/>
      <w:r>
        <w:rPr>
          <w:rFonts w:ascii="Times New Roman" w:hAnsi="Times New Roman"/>
          <w:sz w:val="28"/>
          <w:szCs w:val="28"/>
        </w:rPr>
        <w:t>Антроповская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/>
          <w:sz w:val="28"/>
          <w:szCs w:val="28"/>
        </w:rPr>
        <w:t>Крутоярская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Жгутовский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д/с) не созданы условия для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Обозначились проблемные места в организации образовательной деятельности. Так в 11% (Медведская ООШ, Павловская СОШ,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Сохновская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СОШ)  образовательных организаций респонденты определили недостаточными условия, созданные для индивидуальной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возможности оказания психолого-педагогической, медицинской и социальной помощи обучающимся показались недостаточными респондентам 15% учреждений (Медведская ООШ,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Подсосенская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Сахаптинская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СОШ).</w:t>
      </w: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22 % ОУ оказались в группе, имеющей недочёты в создании условий для организации обучения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ограниченными возможностями здоровья и инвалидов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Антроповская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ООШ, Медведская ООШ,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Сережская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д/с,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Сахаптинский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д/с).</w:t>
      </w: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полностью реализуются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 у 18%  образовательных учреждений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Антроповская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ООШ, Медведская ООШ, Павловская СОШ,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Сохновский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д/с,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Жгутовский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д/с).</w:t>
      </w: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Обобщённые данные по результатам НОКОД:</w:t>
      </w:r>
    </w:p>
    <w:p w:rsidR="00355E78" w:rsidRDefault="00355E78" w:rsidP="00355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3367"/>
      </w:tblGrid>
      <w:tr w:rsidR="00355E78" w:rsidTr="00355E7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организаций, имеющих наихудшие показатели (5%)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организаций с наилучшими показателями (5%)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организаций со стабильными средними показателями (10%)</w:t>
            </w:r>
          </w:p>
        </w:tc>
      </w:tr>
      <w:tr w:rsidR="00355E78" w:rsidTr="00355E7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«Медведская ООШ»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Гляденская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Сохновская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«Преображенская СОШ»</w:t>
            </w:r>
          </w:p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355E78" w:rsidTr="00355E7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Жгутовский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д/с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Павловский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д/с «Солнышко»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Преображенский д/с «Малышок»</w:t>
            </w:r>
          </w:p>
        </w:tc>
      </w:tr>
      <w:tr w:rsidR="00355E78" w:rsidTr="00355E7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Назаровский районный Дом детского творчества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78" w:rsidRDefault="00355E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Детско-юношеская спортивная школа Назаровского района</w:t>
            </w:r>
          </w:p>
        </w:tc>
      </w:tr>
    </w:tbl>
    <w:p w:rsidR="00355E78" w:rsidRDefault="00355E78" w:rsidP="00355E78">
      <w:pPr>
        <w:ind w:firstLine="708"/>
        <w:rPr>
          <w:rFonts w:ascii="Times New Roman" w:hAnsi="Times New Roman"/>
          <w:sz w:val="28"/>
          <w:szCs w:val="28"/>
        </w:rPr>
      </w:pPr>
    </w:p>
    <w:p w:rsidR="00355E78" w:rsidRDefault="00355E78" w:rsidP="00355E7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НОКОД были приняты меры (управленческие решения).</w:t>
      </w:r>
    </w:p>
    <w:p w:rsidR="00355E78" w:rsidRDefault="00355E78" w:rsidP="00355E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Совете директоров образовательных учреждений были проанализированы показатели по блокам с низкой оценкой и предложены меры по повышению результатов деятельности:</w:t>
      </w:r>
    </w:p>
    <w:p w:rsidR="00355E78" w:rsidRDefault="00355E78" w:rsidP="00355E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-образовательные учреждения в течение месяца разрабатывают и утверждают регламенты по работе с поступившими в их адрес обращениями получателей образовательных услуг, в том числе, в части доступности материалов о ходе рассмотрения обращений;   </w:t>
      </w:r>
    </w:p>
    <w:p w:rsidR="00355E78" w:rsidRDefault="00355E78" w:rsidP="00355E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-продолжить работу по созданию доступной среды для маломобильных лиц населения.  Для создания условий по организации обучения и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и инвалидов принять участие в открытых благотворительных конкурсах фонда Михаила Прохорова; </w:t>
      </w:r>
    </w:p>
    <w:p w:rsidR="00355E78" w:rsidRDefault="00355E78" w:rsidP="00355E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создания возможности по оказанию психолого-педагогической, медицинской и социальной помощи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, заключить договора о сетевом взаимодействии с близлежащими образовательными учреждениями, имеющими в своём штате узких специалистов;</w:t>
      </w:r>
    </w:p>
    <w:p w:rsidR="00355E78" w:rsidRDefault="00355E78" w:rsidP="00355E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-внести изменения в рабочие программы педагогов с целью индивидуализации образовательной деятельности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55E78" w:rsidRDefault="00355E78" w:rsidP="00355E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-совместно с родителями (лицами их замещающими) продолжить  разрабатывать индивидуальные образовательные маршруты, направленные на создание условий  для осознанного выбора возможности развития творческих способностей и </w:t>
      </w:r>
      <w:proofErr w:type="gramStart"/>
      <w:r>
        <w:rPr>
          <w:rFonts w:ascii="Times New Roman" w:hAnsi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через  включения их  в </w:t>
      </w:r>
      <w:r>
        <w:rPr>
          <w:rFonts w:ascii="Times New Roman" w:hAnsi="Times New Roman"/>
          <w:sz w:val="28"/>
          <w:szCs w:val="28"/>
        </w:rPr>
        <w:lastRenderedPageBreak/>
        <w:t>конкурсы, олимпиады (в том числе во всероссийских и международных), выставки, смотры, физкультурные мероприятия, спортивные мероприятия.</w:t>
      </w:r>
    </w:p>
    <w:p w:rsidR="00355E78" w:rsidRDefault="00355E78" w:rsidP="00355E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завершена работа по анализу выявленных недочётов. Планы работы обсуждены на августовских педагогических советах и будут опубликованы на сайтах образовательных организаций до конца сентября 2017 года.</w:t>
      </w:r>
    </w:p>
    <w:p w:rsidR="00355E78" w:rsidRDefault="00355E78" w:rsidP="00355E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55E78" w:rsidRDefault="00355E78" w:rsidP="00355E78">
      <w:pPr>
        <w:spacing w:after="0" w:line="240" w:lineRule="auto"/>
        <w:ind w:firstLine="567"/>
      </w:pPr>
    </w:p>
    <w:p w:rsidR="007B1A33" w:rsidRDefault="00355E78">
      <w:bookmarkStart w:id="1" w:name="_GoBack"/>
      <w:bookmarkEnd w:id="1"/>
    </w:p>
    <w:sectPr w:rsidR="007B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E"/>
    <w:rsid w:val="0001468E"/>
    <w:rsid w:val="00355E78"/>
    <w:rsid w:val="007C3CE0"/>
    <w:rsid w:val="009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2019-11-21T02:00:00Z</dcterms:created>
  <dcterms:modified xsi:type="dcterms:W3CDTF">2019-11-21T02:00:00Z</dcterms:modified>
</cp:coreProperties>
</file>